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DD7F" w14:textId="1D5C17FD" w:rsidR="007A34E0" w:rsidRDefault="00F30EDA">
      <w:hyperlink r:id="rId4" w:history="1">
        <w:r w:rsidRPr="009C174C">
          <w:rPr>
            <w:rStyle w:val="Kpr"/>
          </w:rPr>
          <w:t>https://www.bursa.bel.tr/link/sempozyum</w:t>
        </w:r>
      </w:hyperlink>
    </w:p>
    <w:p w14:paraId="2174A917" w14:textId="77777777" w:rsidR="00F30EDA" w:rsidRDefault="00F30EDA"/>
    <w:p w14:paraId="0567CEFE" w14:textId="77777777" w:rsidR="000448D8" w:rsidRDefault="000448D8"/>
    <w:sectPr w:rsidR="00044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D9"/>
    <w:rsid w:val="000448D8"/>
    <w:rsid w:val="005F10D9"/>
    <w:rsid w:val="007A34E0"/>
    <w:rsid w:val="00F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A7A1"/>
  <w15:chartTrackingRefBased/>
  <w15:docId w15:val="{AB624ACC-1275-4A58-90D5-93D7A9699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48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44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rsa.bel.tr/link/sempozyu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2023-10-12T11:08:00Z</dcterms:created>
  <dcterms:modified xsi:type="dcterms:W3CDTF">2023-10-12T11:14:00Z</dcterms:modified>
</cp:coreProperties>
</file>