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1047" w14:textId="530918CB" w:rsidR="007A34E0" w:rsidRDefault="004F4416">
      <w:hyperlink r:id="rId4" w:history="1">
        <w:r w:rsidRPr="007E0FEF">
          <w:rPr>
            <w:rStyle w:val="Kpr"/>
          </w:rPr>
          <w:t>https://tbae.tubitak.gov.tr/tr/haber/genetik-cesitliligimizin-nedenleri-ve-sonuclari</w:t>
        </w:r>
      </w:hyperlink>
    </w:p>
    <w:p w14:paraId="4DD9CC47" w14:textId="77777777" w:rsidR="004F4416" w:rsidRDefault="004F4416"/>
    <w:sectPr w:rsidR="004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59"/>
    <w:rsid w:val="004F4416"/>
    <w:rsid w:val="00722259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A069"/>
  <w15:chartTrackingRefBased/>
  <w15:docId w15:val="{1FA628F0-9BE1-4F2D-BE1F-8301B01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44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bae.tubitak.gov.tr/tr/haber/genetik-cesitliligimizin-nedenleri-ve-sonuc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2023-06-14T06:07:00Z</dcterms:created>
  <dcterms:modified xsi:type="dcterms:W3CDTF">2023-06-14T06:07:00Z</dcterms:modified>
</cp:coreProperties>
</file>