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D095" w14:textId="4265A0D7" w:rsidR="007C1B5C" w:rsidRDefault="009C7C9D" w:rsidP="007C1B5C">
      <w:hyperlink r:id="rId4" w:history="1">
        <w:r w:rsidRPr="00EE15C1">
          <w:rPr>
            <w:rStyle w:val="Kpr"/>
          </w:rPr>
          <w:t>https://tbae.tubitak.gov.tr/tr/haber/bioinformatics-current-developments-and-challenges</w:t>
        </w:r>
      </w:hyperlink>
    </w:p>
    <w:p w14:paraId="38BFD8DA" w14:textId="77777777" w:rsidR="009C7C9D" w:rsidRDefault="009C7C9D" w:rsidP="007C1B5C"/>
    <w:sectPr w:rsidR="009C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87"/>
    <w:rsid w:val="00156187"/>
    <w:rsid w:val="007A34E0"/>
    <w:rsid w:val="007C1B5C"/>
    <w:rsid w:val="009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1FFB"/>
  <w15:chartTrackingRefBased/>
  <w15:docId w15:val="{5E6702EC-6A68-4C5B-8699-9358233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7C9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ae.tubitak.gov.tr/tr/haber/bioinformatics-current-developments-and-challeng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2023-06-09T06:00:00Z</dcterms:created>
  <dcterms:modified xsi:type="dcterms:W3CDTF">2023-06-09T06:06:00Z</dcterms:modified>
</cp:coreProperties>
</file>